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A8" w:rsidRPr="00917F8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10000"/>
          <w:sz w:val="28"/>
          <w:szCs w:val="24"/>
        </w:rPr>
      </w:pPr>
      <w:r w:rsidRPr="00917F88">
        <w:rPr>
          <w:rFonts w:ascii="Times New Roman" w:hAnsi="Times New Roman"/>
          <w:b/>
          <w:bCs/>
          <w:color w:val="C10000"/>
          <w:sz w:val="28"/>
          <w:szCs w:val="24"/>
        </w:rPr>
        <w:t xml:space="preserve">Chemistry </w:t>
      </w:r>
      <w:r w:rsidRPr="00917F88">
        <w:rPr>
          <w:rFonts w:ascii="Times New Roman" w:hAnsi="Times New Roman"/>
          <w:b/>
          <w:bCs/>
          <w:color w:val="990000"/>
          <w:sz w:val="28"/>
          <w:szCs w:val="24"/>
        </w:rPr>
        <w:t>(</w:t>
      </w:r>
      <w:proofErr w:type="spellStart"/>
      <w:r w:rsidRPr="00917F88">
        <w:rPr>
          <w:rFonts w:ascii="Times New Roman" w:hAnsi="Times New Roman"/>
          <w:b/>
          <w:bCs/>
          <w:color w:val="990000"/>
          <w:sz w:val="28"/>
          <w:szCs w:val="24"/>
        </w:rPr>
        <w:t>I</w:t>
      </w:r>
      <w:r w:rsidRPr="00601718">
        <w:rPr>
          <w:rFonts w:ascii="Times New Roman" w:hAnsi="Times New Roman"/>
          <w:b/>
          <w:bCs/>
          <w:color w:val="990000"/>
          <w:sz w:val="28"/>
          <w:szCs w:val="24"/>
          <w:vertAlign w:val="superscript"/>
        </w:rPr>
        <w:t>st</w:t>
      </w:r>
      <w:proofErr w:type="spellEnd"/>
      <w:r w:rsidRPr="00601718">
        <w:rPr>
          <w:rFonts w:ascii="Times New Roman" w:hAnsi="Times New Roman"/>
          <w:b/>
          <w:bCs/>
          <w:color w:val="990000"/>
          <w:sz w:val="28"/>
          <w:szCs w:val="24"/>
          <w:vertAlign w:val="superscript"/>
        </w:rPr>
        <w:t xml:space="preserve"> </w:t>
      </w:r>
      <w:r w:rsidRPr="00917F88">
        <w:rPr>
          <w:rFonts w:ascii="Times New Roman" w:hAnsi="Times New Roman"/>
          <w:b/>
          <w:bCs/>
          <w:color w:val="990000"/>
          <w:sz w:val="28"/>
          <w:szCs w:val="24"/>
        </w:rPr>
        <w:t>year of study,</w:t>
      </w:r>
      <w:r w:rsidRPr="00601718">
        <w:t xml:space="preserve"> </w:t>
      </w:r>
      <w:proofErr w:type="spellStart"/>
      <w:r w:rsidRPr="00601718">
        <w:rPr>
          <w:rFonts w:ascii="Times New Roman" w:hAnsi="Times New Roman"/>
          <w:b/>
          <w:bCs/>
          <w:color w:val="990000"/>
          <w:sz w:val="28"/>
          <w:szCs w:val="24"/>
        </w:rPr>
        <w:t>II</w:t>
      </w:r>
      <w:r w:rsidRPr="00601718">
        <w:rPr>
          <w:rFonts w:ascii="Times New Roman" w:hAnsi="Times New Roman"/>
          <w:b/>
          <w:bCs/>
          <w:color w:val="990000"/>
          <w:sz w:val="28"/>
          <w:szCs w:val="24"/>
          <w:vertAlign w:val="superscript"/>
        </w:rPr>
        <w:t>nd</w:t>
      </w:r>
      <w:proofErr w:type="spellEnd"/>
      <w:r w:rsidRPr="00601718">
        <w:rPr>
          <w:rFonts w:ascii="Times New Roman" w:hAnsi="Times New Roman"/>
          <w:b/>
          <w:bCs/>
          <w:color w:val="990000"/>
          <w:sz w:val="28"/>
          <w:szCs w:val="24"/>
          <w:vertAlign w:val="superscript"/>
        </w:rPr>
        <w:t xml:space="preserve"> </w:t>
      </w:r>
      <w:r w:rsidRPr="00601718">
        <w:rPr>
          <w:rFonts w:ascii="Times New Roman" w:hAnsi="Times New Roman"/>
          <w:b/>
          <w:bCs/>
          <w:color w:val="990000"/>
          <w:sz w:val="28"/>
          <w:szCs w:val="24"/>
        </w:rPr>
        <w:t>Semester</w:t>
      </w:r>
      <w:r w:rsidRPr="00917F88">
        <w:rPr>
          <w:rFonts w:ascii="Times New Roman" w:hAnsi="Times New Roman"/>
          <w:b/>
          <w:bCs/>
          <w:color w:val="990000"/>
          <w:sz w:val="28"/>
          <w:szCs w:val="24"/>
        </w:rPr>
        <w:t xml:space="preserve">) </w:t>
      </w: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242B3A">
        <w:rPr>
          <w:rFonts w:ascii="Times New Roman" w:hAnsi="Times New Roman"/>
          <w:b/>
          <w:bCs/>
          <w:color w:val="810000"/>
          <w:sz w:val="24"/>
          <w:szCs w:val="24"/>
        </w:rPr>
        <w:t>Credit value (ECTS)</w:t>
      </w: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4</w:t>
      </w: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242B3A">
        <w:rPr>
          <w:rFonts w:ascii="Times New Roman" w:hAnsi="Times New Roman"/>
          <w:b/>
          <w:bCs/>
          <w:color w:val="810000"/>
          <w:sz w:val="24"/>
          <w:szCs w:val="24"/>
        </w:rPr>
        <w:t>Course category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Domain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Compulsory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F304A8" w:rsidRPr="00981035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Discipline Code: </w:t>
      </w:r>
      <w:r w:rsidRPr="004379DA">
        <w:rPr>
          <w:rFonts w:ascii="Times New Roman" w:hAnsi="Times New Roman"/>
          <w:bCs/>
          <w:sz w:val="24"/>
          <w:szCs w:val="24"/>
          <w:lang w:val="ro-RO"/>
        </w:rPr>
        <w:t>A.EMIAIA.F.102</w:t>
      </w: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E86938">
        <w:rPr>
          <w:rFonts w:ascii="Times New Roman" w:hAnsi="Times New Roman"/>
          <w:b/>
          <w:bCs/>
          <w:color w:val="810000"/>
          <w:sz w:val="24"/>
          <w:szCs w:val="24"/>
        </w:rPr>
        <w:t>Course holder:</w:t>
      </w:r>
    </w:p>
    <w:p w:rsidR="00F304A8" w:rsidRPr="00E8693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39056886"/>
      <w:r>
        <w:rPr>
          <w:rFonts w:ascii="Times New Roman" w:hAnsi="Times New Roman"/>
          <w:b/>
          <w:bCs/>
          <w:sz w:val="24"/>
          <w:szCs w:val="24"/>
        </w:rPr>
        <w:t>Assoc. Prof.</w:t>
      </w:r>
      <w:r w:rsidRPr="00B24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PhD</w:t>
      </w:r>
      <w:r w:rsidRPr="00917F88">
        <w:rPr>
          <w:rFonts w:ascii="Times New Roman" w:hAnsi="Times New Roman"/>
          <w:b/>
          <w:bCs/>
          <w:sz w:val="24"/>
          <w:szCs w:val="24"/>
        </w:rPr>
        <w:t xml:space="preserve">. Elena UNGUREANU </w:t>
      </w:r>
    </w:p>
    <w:bookmarkEnd w:id="0"/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Discipline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objectives</w:t>
      </w:r>
      <w:proofErr w:type="spellEnd"/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course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practical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works</w:t>
      </w:r>
      <w:proofErr w:type="spellEnd"/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)</w:t>
      </w:r>
    </w:p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 </w:t>
      </w: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•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The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course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is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aimed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at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acquiring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basic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knowledge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of general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chemistry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study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chemical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elements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combinations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properties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importance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main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types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chemical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systems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found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in living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organisms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soil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or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directly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related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to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them</w:t>
      </w:r>
      <w:proofErr w:type="spellEnd"/>
      <w:r w:rsidRPr="00601718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•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Characterization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matter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aggregation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states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context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structure-properties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relationship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; 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•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Defining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proper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understanding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thermodynamic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measures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together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with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their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measurement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units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their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application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calculating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energy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variations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reversible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irreversible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physicochemical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biological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processes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;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•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Defining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state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thermodynamic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equilibrium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applying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information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acquired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characterization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physical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phenomena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such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as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boiling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melting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sublimation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dissolution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solvent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extraction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osmotic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pressure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etc; 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•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Knowledge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kinetic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parameters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based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which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role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influence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factors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increasing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speed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physico-chemical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phenomena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(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concentration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temperature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catalysts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) are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interpreted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;</w:t>
      </w:r>
    </w:p>
    <w:p w:rsidR="00F304A8" w:rsidRPr="00917F8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•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Defining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characterizing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interphase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phenomena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with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applications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the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food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industry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such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as: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corrosion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surface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tension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adsorption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capillarity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etc; 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Practical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works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seek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to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familiarize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students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with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technical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work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chemistry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laboratories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knowledge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general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notions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relating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to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physical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chemical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processes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substances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with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implications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in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food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science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biotechnology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12508">
        <w:rPr>
          <w:rFonts w:ascii="Times New Roman" w:hAnsi="Times New Roman"/>
          <w:color w:val="000000"/>
          <w:sz w:val="24"/>
          <w:szCs w:val="24"/>
          <w:lang w:val="ro-RO"/>
        </w:rPr>
        <w:t>and</w:t>
      </w:r>
      <w:proofErr w:type="spellEnd"/>
      <w:r w:rsidRPr="0061250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612508">
        <w:rPr>
          <w:rFonts w:ascii="Times New Roman" w:hAnsi="Times New Roman"/>
          <w:color w:val="000000"/>
          <w:sz w:val="24"/>
          <w:szCs w:val="24"/>
          <w:lang w:val="ro-RO"/>
        </w:rPr>
        <w:t>interpretation</w:t>
      </w:r>
      <w:proofErr w:type="spellEnd"/>
      <w:r w:rsidRPr="00612508">
        <w:rPr>
          <w:rFonts w:ascii="Times New Roman" w:hAnsi="Times New Roman"/>
          <w:color w:val="000000"/>
          <w:sz w:val="24"/>
          <w:szCs w:val="24"/>
          <w:lang w:val="ro-RO"/>
        </w:rPr>
        <w:t xml:space="preserve"> of </w:t>
      </w:r>
      <w:proofErr w:type="spellStart"/>
      <w:r w:rsidRPr="00612508">
        <w:rPr>
          <w:rFonts w:ascii="Times New Roman" w:hAnsi="Times New Roman"/>
          <w:color w:val="000000"/>
          <w:sz w:val="24"/>
          <w:szCs w:val="24"/>
          <w:lang w:val="ro-RO"/>
        </w:rPr>
        <w:t>results</w:t>
      </w:r>
      <w:proofErr w:type="spellEnd"/>
      <w:r w:rsidRPr="00917F88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F304A8" w:rsidRPr="00917F88" w:rsidRDefault="00F304A8" w:rsidP="00F304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F304A8" w:rsidRPr="008102E5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EE5238">
        <w:rPr>
          <w:rFonts w:ascii="Times New Roman" w:hAnsi="Times New Roman"/>
          <w:b/>
          <w:bCs/>
          <w:color w:val="810000"/>
          <w:sz w:val="24"/>
          <w:szCs w:val="24"/>
        </w:rPr>
        <w:t>Contents</w:t>
      </w: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(</w:t>
      </w:r>
      <w:proofErr w:type="spellStart"/>
      <w:r w:rsidRPr="00EE5238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syllabus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F304A8" w:rsidRPr="0087586A" w:rsidTr="002A6FA7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304A8" w:rsidRPr="0087586A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464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r w:rsidRPr="008758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chapters/subchapters</w:t>
            </w:r>
            <w:r w:rsidRPr="0087586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sz w:val="24"/>
                <w:szCs w:val="24"/>
              </w:rPr>
              <w:t xml:space="preserve">Introduction: </w:t>
            </w: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atom, substance, chemical formulas and reactions</w:t>
            </w:r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Chemical bonds:</w:t>
            </w:r>
            <w:r w:rsidRPr="008102E5">
              <w:rPr>
                <w:rFonts w:ascii="Times New Roman" w:hAnsi="Times New Roman"/>
                <w:sz w:val="24"/>
                <w:szCs w:val="24"/>
              </w:rPr>
              <w:t xml:space="preserve"> ionic, covalent, coordinative, metallic, specific and non-specific intermolecular bonds</w:t>
            </w:r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Chemical reaction:</w:t>
            </w:r>
            <w:r w:rsidRPr="008102E5">
              <w:rPr>
                <w:rFonts w:ascii="Times New Roman" w:hAnsi="Times New Roman"/>
                <w:sz w:val="24"/>
                <w:szCs w:val="24"/>
              </w:rPr>
              <w:t xml:space="preserve"> electron transfer and proton transfer reactions</w:t>
            </w:r>
          </w:p>
        </w:tc>
      </w:tr>
      <w:tr w:rsidR="00F304A8" w:rsidRPr="0087586A" w:rsidTr="002A6FA7">
        <w:trPr>
          <w:cantSplit/>
          <w:trHeight w:val="107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Homogeneous disperse systems:</w:t>
            </w:r>
            <w:r w:rsidRPr="008102E5">
              <w:rPr>
                <w:rFonts w:ascii="Times New Roman" w:hAnsi="Times New Roman"/>
                <w:sz w:val="24"/>
                <w:szCs w:val="24"/>
              </w:rPr>
              <w:t xml:space="preserve"> properties, solubility, methods for separation and purification, principles, solution concentrations</w:t>
            </w:r>
          </w:p>
        </w:tc>
      </w:tr>
      <w:tr w:rsidR="00F304A8" w:rsidRPr="0087586A" w:rsidTr="002A6FA7">
        <w:trPr>
          <w:cantSplit/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Electrochemistry</w:t>
            </w:r>
            <w:r w:rsidRPr="008102E5">
              <w:rPr>
                <w:rFonts w:ascii="Times New Roman" w:hAnsi="Times New Roman"/>
                <w:sz w:val="24"/>
                <w:szCs w:val="24"/>
              </w:rPr>
              <w:t>: electrode processes</w:t>
            </w:r>
          </w:p>
        </w:tc>
      </w:tr>
      <w:tr w:rsidR="00F304A8" w:rsidRPr="0087586A" w:rsidTr="002A6FA7">
        <w:trPr>
          <w:cantSplit/>
          <w:trHeight w:val="21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Elements and combinations</w:t>
            </w:r>
            <w:r w:rsidRPr="008102E5">
              <w:rPr>
                <w:rFonts w:ascii="Times New Roman" w:hAnsi="Times New Roman"/>
                <w:sz w:val="24"/>
                <w:szCs w:val="24"/>
              </w:rPr>
              <w:t>: characterization of the elements in the periodic table groups</w:t>
            </w:r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2E5">
              <w:rPr>
                <w:rFonts w:ascii="Times New Roman" w:hAnsi="Times New Roman"/>
                <w:sz w:val="24"/>
                <w:szCs w:val="24"/>
              </w:rPr>
              <w:t xml:space="preserve">Sates of aggregation:  </w:t>
            </w: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macroscopic and microscopic properties</w:t>
            </w:r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Chemical</w:t>
            </w:r>
            <w:proofErr w:type="spellEnd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thermodynamics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characteristic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values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principles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thermodynamics</w:t>
            </w:r>
            <w:proofErr w:type="spellEnd"/>
          </w:p>
        </w:tc>
      </w:tr>
      <w:tr w:rsidR="00F304A8" w:rsidRPr="0087586A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Chemical</w:t>
            </w:r>
            <w:proofErr w:type="spellEnd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kinetics</w:t>
            </w:r>
            <w:proofErr w:type="spellEnd"/>
            <w:r w:rsidRPr="008102E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reaction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rate,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chemical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equilibria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homogeneous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heterogeneous</w:t>
            </w:r>
            <w:proofErr w:type="spellEnd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2E5">
              <w:rPr>
                <w:rFonts w:ascii="Times New Roman" w:hAnsi="Times New Roman"/>
                <w:sz w:val="24"/>
                <w:szCs w:val="24"/>
                <w:lang w:val="ro-RO"/>
              </w:rPr>
              <w:t>systems</w:t>
            </w:r>
            <w:proofErr w:type="spellEnd"/>
          </w:p>
        </w:tc>
      </w:tr>
      <w:tr w:rsidR="00F304A8" w:rsidRPr="0087586A" w:rsidTr="002A6FA7">
        <w:trPr>
          <w:cantSplit/>
          <w:trHeight w:val="182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2E5">
              <w:rPr>
                <w:rFonts w:ascii="Times New Roman" w:hAnsi="Times New Roman"/>
                <w:sz w:val="24"/>
                <w:szCs w:val="24"/>
              </w:rPr>
              <w:t xml:space="preserve">Colloidal systems: </w:t>
            </w:r>
            <w:r w:rsidRPr="008102E5">
              <w:rPr>
                <w:rFonts w:ascii="Times New Roman" w:hAnsi="Times New Roman"/>
                <w:bCs/>
                <w:sz w:val="24"/>
                <w:szCs w:val="24"/>
              </w:rPr>
              <w:t>classification, methods of obtaining and purification, properties</w:t>
            </w:r>
          </w:p>
        </w:tc>
      </w:tr>
      <w:tr w:rsidR="00F304A8" w:rsidRPr="0087586A" w:rsidTr="002A6FA7">
        <w:trPr>
          <w:cantSplit/>
          <w:trHeight w:val="15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8102E5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E5">
              <w:rPr>
                <w:rFonts w:ascii="Times New Roman" w:hAnsi="Times New Roman"/>
                <w:sz w:val="24"/>
                <w:szCs w:val="24"/>
              </w:rPr>
              <w:t>The importance of chemistry in agriculture and food</w:t>
            </w:r>
          </w:p>
        </w:tc>
      </w:tr>
    </w:tbl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F304A8" w:rsidRPr="0087586A" w:rsidTr="002A6FA7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304A8" w:rsidRPr="0087586A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A12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Seminars</w:t>
            </w:r>
            <w:proofErr w:type="spellEnd"/>
            <w:r w:rsidRPr="008C2A12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C2A12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and</w:t>
            </w:r>
            <w:proofErr w:type="spellEnd"/>
            <w:r w:rsidRPr="008C2A12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C2A12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workshops</w:t>
            </w:r>
            <w:proofErr w:type="spellEnd"/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</w:rPr>
              <w:t xml:space="preserve">Processing work safety and firefighting rules in chemistry lab. Introduction to general chemistry lab. </w:t>
            </w:r>
            <w:r w:rsidRPr="00C8687F">
              <w:rPr>
                <w:rFonts w:ascii="Times New Roman" w:hAnsi="Times New Roman"/>
                <w:sz w:val="24"/>
                <w:szCs w:val="24"/>
              </w:rPr>
              <w:t xml:space="preserve">Laboratory operations </w:t>
            </w:r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concentrations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solutions</w:t>
            </w:r>
            <w:proofErr w:type="spellEnd"/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Volumetric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neutralization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reactions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: </w:t>
            </w:r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determination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a sulfuric acid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solution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concentration</w:t>
            </w:r>
            <w:proofErr w:type="spellEnd"/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Volumetric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oxidation-reduction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reactions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permanganometry</w:t>
            </w:r>
            <w:proofErr w:type="spellEnd"/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Volumetric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oxidation-reduction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reactions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iodometry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determination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concentration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a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solution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iodine</w:t>
            </w:r>
            <w:proofErr w:type="spellEnd"/>
          </w:p>
        </w:tc>
      </w:tr>
      <w:tr w:rsidR="00F304A8" w:rsidRPr="001152C9" w:rsidTr="002A6FA7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Complexometry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determination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water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hardness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F304A8" w:rsidRPr="001152C9" w:rsidTr="002A6FA7">
        <w:trPr>
          <w:cantSplit/>
          <w:trHeight w:val="12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C8687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Substances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purification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methods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crystallization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dissolution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filtration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C8687F"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precipitation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sublimation</w:t>
            </w:r>
            <w:proofErr w:type="spellEnd"/>
          </w:p>
        </w:tc>
      </w:tr>
      <w:tr w:rsidR="00F304A8" w:rsidRPr="001152C9" w:rsidTr="002A6FA7">
        <w:trPr>
          <w:cantSplit/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C8687F" w:rsidRDefault="00F304A8" w:rsidP="002A6FA7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</w:rPr>
              <w:t>Analytical balance</w:t>
            </w:r>
            <w:r w:rsidRPr="00C8687F">
              <w:rPr>
                <w:rFonts w:ascii="Times New Roman" w:hAnsi="Times New Roman"/>
                <w:sz w:val="24"/>
                <w:szCs w:val="24"/>
              </w:rPr>
              <w:t>.</w:t>
            </w:r>
            <w:r w:rsidRPr="00C8687F">
              <w:t xml:space="preserve"> </w:t>
            </w:r>
            <w:r w:rsidRPr="00C8687F">
              <w:rPr>
                <w:rFonts w:ascii="Times New Roman" w:hAnsi="Times New Roman"/>
                <w:bCs/>
                <w:sz w:val="24"/>
                <w:szCs w:val="24"/>
              </w:rPr>
              <w:t>Determining physical constants of liquids:</w:t>
            </w:r>
            <w:r w:rsidRPr="00C8687F">
              <w:rPr>
                <w:rFonts w:ascii="Times New Roman" w:hAnsi="Times New Roman"/>
                <w:sz w:val="24"/>
                <w:szCs w:val="24"/>
              </w:rPr>
              <w:t xml:space="preserve"> density</w:t>
            </w:r>
          </w:p>
        </w:tc>
      </w:tr>
      <w:tr w:rsidR="00F304A8" w:rsidRPr="001152C9" w:rsidTr="002A6FA7">
        <w:trPr>
          <w:cantSplit/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C8687F" w:rsidRDefault="00F304A8" w:rsidP="002A6FA7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</w:t>
            </w:r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potentiometric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determination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F304A8" w:rsidRPr="001152C9" w:rsidTr="002A6FA7">
        <w:trPr>
          <w:cantSplit/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A8" w:rsidRPr="00C8687F" w:rsidRDefault="00F304A8" w:rsidP="002A6FA7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Soils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preparation</w:t>
            </w:r>
            <w:proofErr w:type="spellEnd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methods</w:t>
            </w:r>
            <w:proofErr w:type="spellEnd"/>
          </w:p>
        </w:tc>
      </w:tr>
      <w:tr w:rsidR="00F304A8" w:rsidRPr="001152C9" w:rsidTr="002A6FA7">
        <w:trPr>
          <w:cantSplit/>
          <w:trHeight w:val="1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Gels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preparation</w:t>
            </w:r>
            <w:proofErr w:type="spellEnd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687F">
              <w:rPr>
                <w:rFonts w:ascii="Times New Roman" w:hAnsi="Times New Roman"/>
                <w:sz w:val="24"/>
                <w:szCs w:val="24"/>
                <w:lang w:val="ro-RO"/>
              </w:rPr>
              <w:t>methods</w:t>
            </w:r>
            <w:proofErr w:type="spellEnd"/>
          </w:p>
        </w:tc>
      </w:tr>
      <w:tr w:rsidR="00F304A8" w:rsidRPr="001152C9" w:rsidTr="002A6FA7">
        <w:trPr>
          <w:cantSplit/>
          <w:trHeight w:val="13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C8687F" w:rsidRDefault="00F304A8" w:rsidP="002A6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687F">
              <w:rPr>
                <w:rFonts w:ascii="Times New Roman" w:hAnsi="Times New Roman"/>
                <w:sz w:val="24"/>
                <w:szCs w:val="24"/>
              </w:rPr>
              <w:t>Final colloquium of knowledge evaluation</w:t>
            </w:r>
          </w:p>
        </w:tc>
      </w:tr>
    </w:tbl>
    <w:p w:rsidR="00F304A8" w:rsidRPr="0087586A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References</w:t>
      </w:r>
      <w:proofErr w:type="spellEnd"/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 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Atkins P., De Paula J.,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Keeler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J., 2022 -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Physical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>,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 Editura OUP Oxford.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Burgot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G.,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Burgot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J.L., 2023 - </w:t>
      </w:r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General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Analytical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>,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 Editura Taylor &amp; Francis Ltd.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Comber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N.M., 2021 - </w:t>
      </w:r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An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Introduction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To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Agricultural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Editura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Hassell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Street Press.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Dalton R., 2022 -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Understanding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Inorganic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Editura Murphy &amp; Moore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Publishing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De La Rosa J., 2022 -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Experiments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Editura World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Book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Kan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J., Chen K., 2022 - </w:t>
      </w:r>
      <w:r w:rsidRPr="00EF5A6F">
        <w:rPr>
          <w:rFonts w:ascii="Times New Roman" w:hAnsi="Times New Roman"/>
          <w:i/>
          <w:sz w:val="24"/>
          <w:szCs w:val="24"/>
        </w:rPr>
        <w:t>Essentials of Food Chemistry</w:t>
      </w:r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Springer </w:t>
      </w:r>
      <w:proofErr w:type="spellStart"/>
      <w:r w:rsidRPr="00EF5A6F">
        <w:rPr>
          <w:rFonts w:ascii="Times New Roman" w:hAnsi="Times New Roman"/>
          <w:sz w:val="24"/>
          <w:szCs w:val="24"/>
        </w:rPr>
        <w:t>Verlag</w:t>
      </w:r>
      <w:proofErr w:type="spellEnd"/>
      <w:r w:rsidRPr="00EF5A6F">
        <w:rPr>
          <w:rFonts w:ascii="Times New Roman" w:hAnsi="Times New Roman"/>
          <w:sz w:val="24"/>
          <w:szCs w:val="24"/>
        </w:rPr>
        <w:t>, Singapore.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Mccullough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A., 2022 - </w:t>
      </w:r>
      <w:r w:rsidRPr="00EF5A6F">
        <w:rPr>
          <w:rFonts w:ascii="Times New Roman" w:hAnsi="Times New Roman"/>
          <w:i/>
          <w:sz w:val="24"/>
          <w:szCs w:val="24"/>
        </w:rPr>
        <w:t>Environmental Chemistry: An Analytical Approach</w:t>
      </w:r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Murphy Moore Publishing</w:t>
      </w:r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>Roy A.</w:t>
      </w:r>
      <w:r>
        <w:rPr>
          <w:rFonts w:ascii="Times New Roman" w:hAnsi="Times New Roman"/>
          <w:sz w:val="24"/>
          <w:szCs w:val="24"/>
          <w:lang w:val="ro-RO"/>
        </w:rPr>
        <w:t>, 2022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-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Problems</w:t>
      </w:r>
      <w:proofErr w:type="spellEnd"/>
      <w:r w:rsidRPr="00EF5A6F">
        <w:rPr>
          <w:rFonts w:ascii="Times New Roman" w:hAnsi="Times New Roman"/>
          <w:i/>
          <w:sz w:val="24"/>
          <w:szCs w:val="24"/>
          <w:lang w:val="ro-RO"/>
        </w:rPr>
        <w:t xml:space="preserve"> in General </w:t>
      </w:r>
      <w:proofErr w:type="spellStart"/>
      <w:r w:rsidRPr="00EF5A6F">
        <w:rPr>
          <w:rFonts w:ascii="Times New Roman" w:hAnsi="Times New Roman"/>
          <w:i/>
          <w:sz w:val="24"/>
          <w:szCs w:val="24"/>
          <w:lang w:val="ro-RO"/>
        </w:rPr>
        <w:t>Chemistry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>, Editura</w:t>
      </w:r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Notion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 Press.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Trofin Alina, Ungureanu Elena, 2013 - </w:t>
      </w:r>
      <w:r w:rsidRPr="00EF5A6F">
        <w:rPr>
          <w:rFonts w:ascii="Times New Roman" w:hAnsi="Times New Roman"/>
          <w:i/>
          <w:iCs/>
          <w:sz w:val="24"/>
          <w:szCs w:val="24"/>
          <w:lang w:val="ro-RO"/>
        </w:rPr>
        <w:t>Aplicații de chimie generală,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 Editura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>.</w:t>
      </w:r>
    </w:p>
    <w:p w:rsidR="00F304A8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Trofin Alina, Ungureanu Elena, 2015 - </w:t>
      </w:r>
      <w:r w:rsidRPr="00EF5A6F">
        <w:rPr>
          <w:rFonts w:ascii="Times New Roman" w:hAnsi="Times New Roman"/>
          <w:i/>
          <w:iCs/>
          <w:sz w:val="24"/>
          <w:szCs w:val="24"/>
          <w:lang w:val="ro-RO"/>
        </w:rPr>
        <w:t>Alfabetul elementelor chimice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, Editura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EF5A6F">
        <w:rPr>
          <w:rFonts w:ascii="Times New Roman" w:hAnsi="Times New Roman"/>
          <w:sz w:val="24"/>
          <w:szCs w:val="24"/>
          <w:lang w:val="ro-RO"/>
        </w:rPr>
        <w:t xml:space="preserve">Ungureanu Elena, Trofin  Alina, 2015 - </w:t>
      </w:r>
      <w:r w:rsidRPr="00EF5A6F">
        <w:rPr>
          <w:rFonts w:ascii="Times New Roman" w:hAnsi="Times New Roman"/>
          <w:i/>
          <w:iCs/>
          <w:sz w:val="24"/>
          <w:szCs w:val="24"/>
          <w:lang w:val="ro-RO"/>
        </w:rPr>
        <w:t xml:space="preserve">Fundamentele chimiei fizice </w:t>
      </w:r>
      <w:proofErr w:type="spellStart"/>
      <w:r w:rsidRPr="00EF5A6F">
        <w:rPr>
          <w:rFonts w:ascii="Times New Roman" w:hAnsi="Times New Roman"/>
          <w:i/>
          <w:iCs/>
          <w:sz w:val="24"/>
          <w:szCs w:val="24"/>
          <w:lang w:val="ro-RO"/>
        </w:rPr>
        <w:t>şi</w:t>
      </w:r>
      <w:proofErr w:type="spellEnd"/>
      <w:r w:rsidRPr="00EF5A6F">
        <w:rPr>
          <w:rFonts w:ascii="Times New Roman" w:hAnsi="Times New Roman"/>
          <w:i/>
          <w:iCs/>
          <w:sz w:val="24"/>
          <w:szCs w:val="24"/>
          <w:lang w:val="ro-RO"/>
        </w:rPr>
        <w:t xml:space="preserve"> coloidale</w:t>
      </w:r>
      <w:r w:rsidRPr="00EF5A6F">
        <w:rPr>
          <w:rFonts w:ascii="Times New Roman" w:hAnsi="Times New Roman"/>
          <w:sz w:val="24"/>
          <w:szCs w:val="24"/>
          <w:lang w:val="ro-RO"/>
        </w:rPr>
        <w:t xml:space="preserve">, Editura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  <w:lang w:val="ro-RO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2017 -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Coloizi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industria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alimentară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>,</w:t>
      </w:r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2020 -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Chimie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coloidală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StudIS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</w:t>
      </w:r>
      <w:proofErr w:type="spellStart"/>
      <w:r w:rsidRPr="00EF5A6F">
        <w:rPr>
          <w:rFonts w:ascii="Times New Roman" w:hAnsi="Times New Roman"/>
          <w:sz w:val="24"/>
          <w:szCs w:val="24"/>
        </w:rPr>
        <w:t>Ariton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Adina </w:t>
      </w:r>
      <w:proofErr w:type="spellStart"/>
      <w:r w:rsidRPr="00EF5A6F">
        <w:rPr>
          <w:rFonts w:ascii="Times New Roman" w:hAnsi="Times New Roman"/>
          <w:sz w:val="24"/>
          <w:szCs w:val="24"/>
        </w:rPr>
        <w:t>Mirela</w:t>
      </w:r>
      <w:proofErr w:type="spellEnd"/>
      <w:r>
        <w:rPr>
          <w:rFonts w:ascii="Times New Roman" w:hAnsi="Times New Roman"/>
          <w:sz w:val="24"/>
          <w:szCs w:val="24"/>
        </w:rPr>
        <w:t>, 2021</w:t>
      </w:r>
      <w:r w:rsidRPr="00EF5A6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F5A6F">
        <w:rPr>
          <w:rFonts w:ascii="Times New Roman" w:hAnsi="Times New Roman"/>
          <w:sz w:val="24"/>
          <w:szCs w:val="24"/>
        </w:rPr>
        <w:t>Chimie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- </w:t>
      </w:r>
      <w:r w:rsidRPr="00EF5A6F">
        <w:rPr>
          <w:rFonts w:ascii="Times New Roman" w:hAnsi="Times New Roman"/>
          <w:i/>
          <w:sz w:val="24"/>
          <w:szCs w:val="24"/>
        </w:rPr>
        <w:t xml:space="preserve">Curs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Lucrări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practice</w:t>
      </w:r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</w:t>
      </w:r>
      <w:r>
        <w:rPr>
          <w:rFonts w:ascii="Times New Roman" w:hAnsi="Times New Roman"/>
          <w:sz w:val="24"/>
          <w:szCs w:val="24"/>
        </w:rPr>
        <w:t>, 2022</w:t>
      </w:r>
      <w:r w:rsidRPr="00EF5A6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Aplicații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Practice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Numerice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Chimie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Fizică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Coloidală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</w:t>
      </w:r>
      <w:proofErr w:type="spellStart"/>
      <w:r w:rsidRPr="00EF5A6F">
        <w:rPr>
          <w:rFonts w:ascii="Times New Roman" w:hAnsi="Times New Roman"/>
          <w:sz w:val="24"/>
          <w:szCs w:val="24"/>
        </w:rPr>
        <w:t>Fortună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Pr="00EF5A6F">
        <w:rPr>
          <w:rFonts w:ascii="Times New Roman" w:hAnsi="Times New Roman"/>
          <w:sz w:val="24"/>
          <w:szCs w:val="24"/>
        </w:rPr>
        <w:t>Emiliana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2023 -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Chimie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Fizică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Coloidală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Pim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Iași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</w:t>
      </w:r>
      <w:proofErr w:type="spellStart"/>
      <w:r w:rsidRPr="00EF5A6F">
        <w:rPr>
          <w:rFonts w:ascii="Times New Roman" w:hAnsi="Times New Roman"/>
          <w:sz w:val="24"/>
          <w:szCs w:val="24"/>
        </w:rPr>
        <w:t>Tofănică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B.M., </w:t>
      </w:r>
      <w:proofErr w:type="spellStart"/>
      <w:r w:rsidRPr="00EF5A6F">
        <w:rPr>
          <w:rFonts w:ascii="Times New Roman" w:hAnsi="Times New Roman"/>
          <w:sz w:val="24"/>
          <w:szCs w:val="24"/>
        </w:rPr>
        <w:t>Fortună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Pr="00EF5A6F">
        <w:rPr>
          <w:rFonts w:ascii="Times New Roman" w:hAnsi="Times New Roman"/>
          <w:sz w:val="24"/>
          <w:szCs w:val="24"/>
        </w:rPr>
        <w:t>Emiliana</w:t>
      </w:r>
      <w:proofErr w:type="spellEnd"/>
      <w:r>
        <w:rPr>
          <w:rFonts w:ascii="Times New Roman" w:hAnsi="Times New Roman"/>
          <w:sz w:val="24"/>
          <w:szCs w:val="24"/>
        </w:rPr>
        <w:t>, 2024</w:t>
      </w:r>
      <w:r w:rsidRPr="00EF5A6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Chimia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Generală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Experimente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Probleme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Iaşi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Pr="00EF5A6F" w:rsidRDefault="00F304A8" w:rsidP="00F304A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A6F">
        <w:rPr>
          <w:rFonts w:ascii="Times New Roman" w:hAnsi="Times New Roman"/>
          <w:sz w:val="24"/>
          <w:szCs w:val="24"/>
        </w:rPr>
        <w:t>Ungureanu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Elena, 2024 -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Chimie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anorganică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EF5A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i/>
          <w:sz w:val="24"/>
          <w:szCs w:val="24"/>
        </w:rPr>
        <w:t>analitică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Editura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A6F">
        <w:rPr>
          <w:rFonts w:ascii="Times New Roman" w:hAnsi="Times New Roman"/>
          <w:sz w:val="24"/>
          <w:szCs w:val="24"/>
        </w:rPr>
        <w:t>Ștef</w:t>
      </w:r>
      <w:proofErr w:type="spellEnd"/>
      <w:r w:rsidRPr="00EF5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5A6F">
        <w:rPr>
          <w:rFonts w:ascii="Times New Roman" w:hAnsi="Times New Roman"/>
          <w:sz w:val="24"/>
          <w:szCs w:val="24"/>
        </w:rPr>
        <w:t>Iași</w:t>
      </w:r>
      <w:proofErr w:type="spellEnd"/>
      <w:r w:rsidRPr="00EF5A6F">
        <w:rPr>
          <w:rFonts w:ascii="Times New Roman" w:hAnsi="Times New Roman"/>
          <w:sz w:val="24"/>
          <w:szCs w:val="24"/>
        </w:rPr>
        <w:t>.</w:t>
      </w: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0340B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lastRenderedPageBreak/>
        <w:t>Evaluation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5"/>
        <w:gridCol w:w="2256"/>
      </w:tblGrid>
      <w:tr w:rsidR="00F304A8" w:rsidRPr="00F21CAF" w:rsidTr="002A6FA7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2464">
              <w:rPr>
                <w:rFonts w:ascii="Times New Roman" w:hAnsi="Times New Roman"/>
                <w:b/>
                <w:sz w:val="24"/>
              </w:rPr>
              <w:t>Evaluation</w:t>
            </w:r>
            <w:r>
              <w:rPr>
                <w:rFonts w:ascii="Times New Roman" w:hAnsi="Times New Roman"/>
                <w:b/>
                <w:sz w:val="24"/>
              </w:rPr>
              <w:t xml:space="preserve">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304A8" w:rsidRPr="00B02464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2464">
              <w:rPr>
                <w:rFonts w:ascii="Times New Roman" w:hAnsi="Times New Roman"/>
                <w:b/>
                <w:sz w:val="24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F304A8" w:rsidRPr="00B02464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2464">
              <w:rPr>
                <w:rFonts w:ascii="Times New Roman" w:hAnsi="Times New Roman"/>
                <w:b/>
                <w:sz w:val="24"/>
              </w:rPr>
              <w:t>Percentage of the final grade</w:t>
            </w:r>
          </w:p>
        </w:tc>
      </w:tr>
      <w:tr w:rsidR="00F304A8" w:rsidRPr="00F21CAF" w:rsidTr="002A6FA7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242B1">
              <w:rPr>
                <w:rFonts w:ascii="Times New Roman" w:hAnsi="Times New Roman"/>
                <w:sz w:val="24"/>
              </w:rPr>
              <w:t xml:space="preserve">Written </w:t>
            </w:r>
            <w:r w:rsidRPr="00F14DF6">
              <w:rPr>
                <w:rFonts w:ascii="Times New Roman" w:hAnsi="Times New Roman"/>
                <w:sz w:val="24"/>
              </w:rPr>
              <w:t>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F21CAF">
              <w:rPr>
                <w:rFonts w:ascii="Times New Roman" w:hAnsi="Times New Roman"/>
                <w:sz w:val="24"/>
              </w:rPr>
              <w:t>0%</w:t>
            </w:r>
          </w:p>
        </w:tc>
      </w:tr>
      <w:tr w:rsidR="00F304A8" w:rsidRPr="00F21CAF" w:rsidTr="002A6FA7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Appreciation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Pr="00F14DF6">
              <w:rPr>
                <w:rFonts w:ascii="Times New Roman" w:hAnsi="Times New Roman"/>
                <w:sz w:val="24"/>
              </w:rPr>
              <w:t>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>Oral assessment during the semester, verification tests</w:t>
            </w:r>
            <w:r>
              <w:rPr>
                <w:rFonts w:ascii="Times New Roman" w:hAnsi="Times New Roman"/>
                <w:sz w:val="24"/>
              </w:rPr>
              <w:t xml:space="preserve"> and </w:t>
            </w:r>
            <w:r w:rsidRPr="00F14DF6">
              <w:rPr>
                <w:rFonts w:ascii="Times New Roman" w:hAnsi="Times New Roman"/>
                <w:sz w:val="24"/>
              </w:rPr>
              <w:t xml:space="preserve">final </w:t>
            </w:r>
            <w:r>
              <w:rPr>
                <w:rFonts w:ascii="Times New Roman" w:hAnsi="Times New Roman"/>
                <w:sz w:val="24"/>
              </w:rPr>
              <w:t xml:space="preserve">laboratory </w:t>
            </w:r>
            <w:r w:rsidRPr="00F14DF6">
              <w:rPr>
                <w:rFonts w:ascii="Times New Roman" w:hAnsi="Times New Roman"/>
                <w:sz w:val="24"/>
              </w:rPr>
              <w:t>colloquium</w:t>
            </w:r>
            <w:r w:rsidRPr="00F21C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4A8" w:rsidRPr="00F21CAF" w:rsidRDefault="00F304A8" w:rsidP="002A6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F21CAF"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F304A8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F304A8" w:rsidRPr="008C2A12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A4C25"/>
          <w:sz w:val="24"/>
          <w:szCs w:val="24"/>
        </w:rPr>
      </w:pPr>
      <w:r w:rsidRPr="008C2A12">
        <w:rPr>
          <w:rFonts w:ascii="Times New Roman" w:hAnsi="Times New Roman"/>
          <w:b/>
          <w:bCs/>
          <w:color w:val="CA4C25"/>
          <w:sz w:val="24"/>
          <w:szCs w:val="24"/>
        </w:rPr>
        <w:t>Contact</w:t>
      </w:r>
    </w:p>
    <w:p w:rsidR="00F304A8" w:rsidRPr="002E1159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Assoc. Prof. </w:t>
      </w:r>
      <w:r w:rsidRPr="00530D71">
        <w:rPr>
          <w:rFonts w:ascii="Times New Roman" w:hAnsi="Times New Roman"/>
          <w:b/>
          <w:bCs/>
          <w:sz w:val="24"/>
          <w:szCs w:val="24"/>
        </w:rPr>
        <w:t>PhD</w:t>
      </w:r>
      <w:r w:rsidRPr="002E1159">
        <w:rPr>
          <w:rFonts w:ascii="Times New Roman" w:hAnsi="Times New Roman"/>
          <w:b/>
          <w:bCs/>
          <w:sz w:val="24"/>
          <w:szCs w:val="24"/>
        </w:rPr>
        <w:t xml:space="preserve"> Elena UNGUREANU</w:t>
      </w:r>
      <w:r w:rsidRPr="002E115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304A8" w:rsidRPr="008C2A12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1159">
        <w:rPr>
          <w:rFonts w:ascii="Times New Roman" w:hAnsi="Times New Roman"/>
          <w:sz w:val="24"/>
          <w:szCs w:val="24"/>
          <w:lang w:val="ro-RO"/>
        </w:rPr>
        <w:t>Faculty</w:t>
      </w:r>
      <w:proofErr w:type="spellEnd"/>
      <w:r w:rsidRPr="002E1159">
        <w:rPr>
          <w:rFonts w:ascii="Times New Roman" w:hAnsi="Times New Roman"/>
          <w:sz w:val="24"/>
          <w:szCs w:val="24"/>
          <w:lang w:val="ro-RO"/>
        </w:rPr>
        <w:t xml:space="preserve"> of </w:t>
      </w:r>
      <w:proofErr w:type="spellStart"/>
      <w:r w:rsidRPr="002E1159">
        <w:rPr>
          <w:rFonts w:ascii="Times New Roman" w:hAnsi="Times New Roman"/>
          <w:sz w:val="24"/>
          <w:szCs w:val="24"/>
          <w:lang w:val="ro-RO"/>
        </w:rPr>
        <w:t>Horticulture</w:t>
      </w:r>
      <w:proofErr w:type="spellEnd"/>
      <w:r w:rsidRPr="002E115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C2A12">
        <w:rPr>
          <w:rFonts w:ascii="Times New Roman" w:hAnsi="Times New Roman"/>
          <w:color w:val="000000"/>
          <w:sz w:val="24"/>
          <w:szCs w:val="24"/>
        </w:rPr>
        <w:t xml:space="preserve">- IULS </w:t>
      </w:r>
    </w:p>
    <w:p w:rsidR="00F304A8" w:rsidRPr="008C2A12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2A12">
        <w:rPr>
          <w:rFonts w:ascii="Times New Roman" w:hAnsi="Times New Roman"/>
          <w:color w:val="000000"/>
          <w:sz w:val="24"/>
          <w:szCs w:val="24"/>
        </w:rPr>
        <w:t>Alle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Mihail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Sadoveanu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Street, no. 3</w:t>
      </w:r>
      <w:bookmarkStart w:id="1" w:name="_GoBack"/>
      <w:bookmarkEnd w:id="1"/>
      <w:r w:rsidRPr="008C2A12">
        <w:rPr>
          <w:rFonts w:ascii="Times New Roman" w:hAnsi="Times New Roman"/>
          <w:color w:val="000000"/>
          <w:sz w:val="24"/>
          <w:szCs w:val="24"/>
        </w:rPr>
        <w:t>, Iasi, 700490, Romania</w:t>
      </w:r>
    </w:p>
    <w:p w:rsidR="00F304A8" w:rsidRPr="008C2A12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A12">
        <w:rPr>
          <w:rFonts w:ascii="Times New Roman" w:hAnsi="Times New Roman"/>
          <w:sz w:val="24"/>
          <w:szCs w:val="24"/>
        </w:rPr>
        <w:t xml:space="preserve">Phone: </w:t>
      </w:r>
      <w:r>
        <w:rPr>
          <w:rFonts w:ascii="Times New Roman" w:hAnsi="Times New Roman"/>
          <w:sz w:val="24"/>
          <w:szCs w:val="24"/>
          <w:shd w:val="clear" w:color="auto" w:fill="FFFFFF"/>
        </w:rPr>
        <w:t>+40 232 407552</w:t>
      </w:r>
    </w:p>
    <w:p w:rsidR="00F304A8" w:rsidRPr="00DD4CCE" w:rsidRDefault="00F304A8" w:rsidP="00F3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2A12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Pr="00CC3B52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lena.ungureanu@iuls</w:t>
      </w:r>
      <w:r w:rsidRPr="00CC3B52">
        <w:rPr>
          <w:rFonts w:ascii="Times New Roman" w:hAnsi="Times New Roman"/>
          <w:sz w:val="24"/>
          <w:szCs w:val="24"/>
          <w:lang w:val="ro-RO"/>
        </w:rPr>
        <w:t>.ro</w:t>
      </w:r>
      <w:r>
        <w:rPr>
          <w:rFonts w:ascii="Times New Roman" w:hAnsi="Times New Roman"/>
          <w:color w:val="0000FF"/>
          <w:sz w:val="24"/>
          <w:szCs w:val="24"/>
          <w:lang w:val="ro-RO"/>
        </w:rPr>
        <w:t xml:space="preserve"> </w:t>
      </w:r>
    </w:p>
    <w:p w:rsidR="001C0BDF" w:rsidRDefault="001C0BDF"/>
    <w:sectPr w:rsidR="001C0BDF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215E"/>
    <w:multiLevelType w:val="hybridMultilevel"/>
    <w:tmpl w:val="EAD481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8"/>
    <w:rsid w:val="001C0BDF"/>
    <w:rsid w:val="003A108E"/>
    <w:rsid w:val="008A1299"/>
    <w:rsid w:val="00A25173"/>
    <w:rsid w:val="00CC0FE3"/>
    <w:rsid w:val="00DC0801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CCBD"/>
  <w15:chartTrackingRefBased/>
  <w15:docId w15:val="{EAB84FEC-247A-4C81-B8F9-C6A94B77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A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4A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2024-12-18T09:48:00Z</dcterms:created>
  <dcterms:modified xsi:type="dcterms:W3CDTF">2024-12-18T09:50:00Z</dcterms:modified>
</cp:coreProperties>
</file>