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BAF0" w14:textId="77777777" w:rsidR="00CB53EC" w:rsidRPr="009A2782" w:rsidRDefault="00CB53EC" w:rsidP="009A2782">
      <w:pPr>
        <w:pStyle w:val="Frspaiere"/>
        <w:rPr>
          <w:rFonts w:ascii="Times New Roman" w:hAnsi="Times New Roman"/>
          <w:b/>
          <w:sz w:val="24"/>
          <w:szCs w:val="24"/>
        </w:rPr>
      </w:pPr>
      <w:r w:rsidRPr="009A2782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12785924" w14:textId="77777777" w:rsidR="00CB53EC" w:rsidRPr="009A2782" w:rsidRDefault="00CB53EC" w:rsidP="009A2782">
      <w:pPr>
        <w:pStyle w:val="Frspaiere"/>
        <w:rPr>
          <w:rFonts w:ascii="Times New Roman" w:hAnsi="Times New Roman"/>
          <w:b/>
          <w:sz w:val="24"/>
          <w:szCs w:val="24"/>
        </w:rPr>
      </w:pPr>
      <w:r w:rsidRPr="009A2782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2E00664A" w14:textId="77777777" w:rsidR="00CB53EC" w:rsidRPr="009A2782" w:rsidRDefault="00CB53EC" w:rsidP="009A2782">
      <w:pPr>
        <w:pStyle w:val="Frspaiere"/>
        <w:rPr>
          <w:rFonts w:ascii="Times New Roman" w:hAnsi="Times New Roman"/>
          <w:b/>
          <w:sz w:val="24"/>
          <w:szCs w:val="24"/>
        </w:rPr>
      </w:pPr>
      <w:r w:rsidRPr="009A2782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6060DECD" w14:textId="77777777" w:rsidR="00CB53EC" w:rsidRPr="009A2782" w:rsidRDefault="00CB53EC" w:rsidP="009A2782">
      <w:pPr>
        <w:pStyle w:val="Frspaiere"/>
        <w:rPr>
          <w:rFonts w:ascii="Times New Roman" w:hAnsi="Times New Roman"/>
          <w:b/>
          <w:sz w:val="24"/>
          <w:szCs w:val="24"/>
        </w:rPr>
      </w:pPr>
      <w:r w:rsidRPr="009A2782">
        <w:rPr>
          <w:rFonts w:ascii="Times New Roman" w:hAnsi="Times New Roman"/>
          <w:b/>
          <w:sz w:val="24"/>
          <w:szCs w:val="24"/>
        </w:rPr>
        <w:t>AN UNIVERSITAR 2024/2025</w:t>
      </w:r>
    </w:p>
    <w:p w14:paraId="409388DD" w14:textId="7F5047F8" w:rsidR="003648D6" w:rsidRPr="009A2782" w:rsidRDefault="003648D6" w:rsidP="009A278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45E5EBB5" w14:textId="209046E9" w:rsidR="00CB53EC" w:rsidRPr="009A2782" w:rsidRDefault="00CB53EC" w:rsidP="009A278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59FD2F69" w14:textId="77777777" w:rsidR="00CB53EC" w:rsidRPr="009A2782" w:rsidRDefault="00CB53EC" w:rsidP="009A278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7506"/>
      </w:tblGrid>
      <w:tr w:rsidR="003648D6" w:rsidRPr="009A2782" w14:paraId="63EF6783" w14:textId="77777777" w:rsidTr="00CB53EC">
        <w:tc>
          <w:tcPr>
            <w:tcW w:w="9628" w:type="dxa"/>
            <w:gridSpan w:val="2"/>
          </w:tcPr>
          <w:p w14:paraId="76F65A34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3648D6" w:rsidRPr="009A2782" w14:paraId="56C99CB6" w14:textId="77777777" w:rsidTr="00CB53EC">
        <w:tc>
          <w:tcPr>
            <w:tcW w:w="2122" w:type="dxa"/>
          </w:tcPr>
          <w:p w14:paraId="7262F8B5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506" w:type="dxa"/>
          </w:tcPr>
          <w:p w14:paraId="59EC3C13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="00EE1010" w:rsidRPr="009A2782">
              <w:rPr>
                <w:rFonts w:ascii="Times New Roman" w:hAnsi="Times New Roman"/>
                <w:b/>
                <w:sz w:val="24"/>
                <w:szCs w:val="24"/>
              </w:rPr>
              <w:t>universitar</w:t>
            </w:r>
          </w:p>
        </w:tc>
      </w:tr>
      <w:tr w:rsidR="003648D6" w:rsidRPr="009A2782" w14:paraId="78F8766A" w14:textId="77777777" w:rsidTr="00CB53EC">
        <w:tc>
          <w:tcPr>
            <w:tcW w:w="2122" w:type="dxa"/>
          </w:tcPr>
          <w:p w14:paraId="0F8DDCF8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Poziția în statul de funcții</w:t>
            </w:r>
          </w:p>
        </w:tc>
        <w:tc>
          <w:tcPr>
            <w:tcW w:w="7506" w:type="dxa"/>
          </w:tcPr>
          <w:p w14:paraId="5062CA51" w14:textId="63DFBAAE" w:rsidR="00C556C0" w:rsidRPr="009A2782" w:rsidRDefault="005E7E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C556C0" w:rsidRPr="009A278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3648D6" w:rsidRPr="009A2782" w14:paraId="6D9FE687" w14:textId="77777777" w:rsidTr="00CB53EC">
        <w:trPr>
          <w:trHeight w:val="70"/>
        </w:trPr>
        <w:tc>
          <w:tcPr>
            <w:tcW w:w="2122" w:type="dxa"/>
          </w:tcPr>
          <w:p w14:paraId="6EE3BD69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506" w:type="dxa"/>
          </w:tcPr>
          <w:p w14:paraId="31E65D8E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9A2782" w14:paraId="11CE6CEE" w14:textId="77777777" w:rsidTr="00CB53EC">
        <w:tc>
          <w:tcPr>
            <w:tcW w:w="2122" w:type="dxa"/>
          </w:tcPr>
          <w:p w14:paraId="2A5BAFFF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506" w:type="dxa"/>
          </w:tcPr>
          <w:p w14:paraId="1A7B934B" w14:textId="77777777" w:rsidR="003648D6" w:rsidRPr="009A2782" w:rsidRDefault="00EE1010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 xml:space="preserve">Clinici </w:t>
            </w:r>
            <w:r w:rsidR="003648D6" w:rsidRPr="009A278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3648D6" w:rsidRPr="009A2782" w14:paraId="2E837129" w14:textId="77777777" w:rsidTr="00CB53EC">
        <w:tc>
          <w:tcPr>
            <w:tcW w:w="2122" w:type="dxa"/>
          </w:tcPr>
          <w:p w14:paraId="3735A148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506" w:type="dxa"/>
          </w:tcPr>
          <w:p w14:paraId="358F1FED" w14:textId="0802237D" w:rsidR="000250EE" w:rsidRPr="009A2782" w:rsidRDefault="00CB53EC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Neurologie și reabilitare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>-motorie</w:t>
            </w:r>
          </w:p>
          <w:p w14:paraId="3A677FC0" w14:textId="1CF34A4D" w:rsidR="000250EE" w:rsidRPr="009A2782" w:rsidRDefault="00CB53EC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Neurology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-motor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rehabilitation</w:t>
            </w:r>
            <w:proofErr w:type="spellEnd"/>
          </w:p>
          <w:p w14:paraId="6F73ECE5" w14:textId="1AD22E41" w:rsidR="000250EE" w:rsidRPr="009A2782" w:rsidRDefault="00CB53EC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Clinică medicală si prelegeri clinice pe specii, anul v</w:t>
            </w:r>
          </w:p>
          <w:p w14:paraId="0295239A" w14:textId="63F98DDB" w:rsidR="00B25B78" w:rsidRPr="009A2782" w:rsidRDefault="00CB53EC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Medicina interna a animalelor de companie si agrement</w:t>
            </w:r>
          </w:p>
        </w:tc>
      </w:tr>
      <w:tr w:rsidR="003648D6" w:rsidRPr="009A2782" w14:paraId="7836181D" w14:textId="77777777" w:rsidTr="00CB53EC">
        <w:tc>
          <w:tcPr>
            <w:tcW w:w="2122" w:type="dxa"/>
          </w:tcPr>
          <w:p w14:paraId="0398FDCE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506" w:type="dxa"/>
          </w:tcPr>
          <w:p w14:paraId="1F4D6C07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9A2782" w14:paraId="6AFFF5F5" w14:textId="77777777" w:rsidTr="00CB53EC">
        <w:tc>
          <w:tcPr>
            <w:tcW w:w="2122" w:type="dxa"/>
          </w:tcPr>
          <w:p w14:paraId="4E480CFE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506" w:type="dxa"/>
          </w:tcPr>
          <w:p w14:paraId="3D273AE0" w14:textId="1F904240" w:rsidR="003648D6" w:rsidRPr="009A2782" w:rsidRDefault="003648D6" w:rsidP="009A2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Postul de asistent universitar, pe perioadă determinată, vacant, </w:t>
            </w:r>
            <w:r w:rsidR="00EE1010" w:rsidRPr="009A278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B25B78" w:rsidRPr="009A2782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0250EE" w:rsidRPr="009A278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E1010" w:rsidRPr="009A2782">
              <w:rPr>
                <w:rFonts w:ascii="Times New Roman" w:hAnsi="Times New Roman"/>
                <w:sz w:val="24"/>
                <w:szCs w:val="24"/>
              </w:rPr>
              <w:t>,</w:t>
            </w: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 xml:space="preserve">prevăzut în Statul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funcţiuni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de personal didactic 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>aprobat în anul universitar 20</w:t>
            </w:r>
            <w:r w:rsidR="000250EE" w:rsidRPr="009A2782">
              <w:rPr>
                <w:rFonts w:ascii="Times New Roman" w:hAnsi="Times New Roman"/>
                <w:sz w:val="24"/>
                <w:szCs w:val="24"/>
              </w:rPr>
              <w:t>4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>2</w:t>
            </w:r>
            <w:r w:rsidR="00B25B78" w:rsidRPr="009A278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0250EE" w:rsidRPr="009A2782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897" w:rsidRPr="009A2782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 o normă de 1</w:t>
            </w:r>
            <w:r w:rsidR="000250EE" w:rsidRPr="009A2782">
              <w:rPr>
                <w:rFonts w:ascii="Times New Roman" w:hAnsi="Times New Roman"/>
                <w:sz w:val="24"/>
                <w:szCs w:val="24"/>
              </w:rPr>
              <w:t>4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>,7</w:t>
            </w:r>
            <w:r w:rsidR="000250EE" w:rsidRPr="009A2782">
              <w:rPr>
                <w:rFonts w:ascii="Times New Roman" w:hAnsi="Times New Roman"/>
                <w:sz w:val="24"/>
                <w:szCs w:val="24"/>
              </w:rPr>
              <w:t>8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 ore (medie an) asigurată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 xml:space="preserve"> cu ore de lucrări practice, cu următoarea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distribuţie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semestrială pe discipline:</w:t>
            </w:r>
          </w:p>
          <w:p w14:paraId="250A6B9C" w14:textId="46E71A10" w:rsidR="00B25B78" w:rsidRPr="009A2782" w:rsidRDefault="00B25B78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-</w:t>
            </w:r>
            <w:r w:rsidR="000250EE" w:rsidRPr="009A2782">
              <w:rPr>
                <w:rFonts w:ascii="Times New Roman" w:hAnsi="Times New Roman"/>
                <w:sz w:val="24"/>
                <w:szCs w:val="24"/>
              </w:rPr>
              <w:t xml:space="preserve"> NEUROLOGIE ȘI REABILITARE NEURO-MOTORIE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: Sem.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I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10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1BCEF70C" w14:textId="5DABF74C" w:rsidR="00B25B78" w:rsidRPr="009A2782" w:rsidRDefault="00DF71DB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-</w:t>
            </w:r>
            <w:r w:rsidR="00B25B78"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NEUROLOGY AND NEURO-MOTOR REHABILITATION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: Sem.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I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5</w:t>
            </w:r>
            <w:r w:rsidR="00B25B78" w:rsidRPr="009A2782">
              <w:rPr>
                <w:rFonts w:ascii="Times New Roman" w:hAnsi="Times New Roman"/>
                <w:sz w:val="24"/>
                <w:szCs w:val="24"/>
              </w:rPr>
              <w:t xml:space="preserve"> ore lucrări practice, </w:t>
            </w:r>
          </w:p>
          <w:p w14:paraId="2647BC0F" w14:textId="77777777" w:rsidR="00CE5FD5" w:rsidRPr="009A2782" w:rsidRDefault="00B25B78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-</w:t>
            </w:r>
            <w:r w:rsidR="002F0897"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CLINICĂ MEDICALĂ SI PRELEGERI CLINICE PE SPECII, ANUL V</w:t>
            </w:r>
            <w:r w:rsidR="003849BD" w:rsidRPr="009A2782">
              <w:rPr>
                <w:rFonts w:ascii="Times New Roman" w:hAnsi="Times New Roman"/>
                <w:sz w:val="24"/>
                <w:szCs w:val="24"/>
              </w:rPr>
              <w:t xml:space="preserve">: Sem I, </w:t>
            </w:r>
            <w:r w:rsidR="00CE5FD5" w:rsidRPr="009A2782">
              <w:rPr>
                <w:rFonts w:ascii="Times New Roman" w:hAnsi="Times New Roman"/>
                <w:sz w:val="24"/>
                <w:szCs w:val="24"/>
              </w:rPr>
              <w:t>6</w:t>
            </w:r>
            <w:r w:rsidR="003849BD" w:rsidRPr="009A2782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574E1306" w14:textId="60CE3B84" w:rsidR="00CE5FD5" w:rsidRPr="009A2782" w:rsidRDefault="00CE5FD5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- MEDICINA INTERNA A ANIMALELOR DE COMPANIE SI AGREMENT: Sem II, 8,56 ore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practice </w:t>
            </w:r>
          </w:p>
          <w:p w14:paraId="027C0607" w14:textId="4C2A61BB" w:rsidR="003648D6" w:rsidRPr="009A2782" w:rsidRDefault="00B25B78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8D6" w:rsidRPr="009A2782" w14:paraId="7AB217E8" w14:textId="77777777" w:rsidTr="00CB53EC">
        <w:tc>
          <w:tcPr>
            <w:tcW w:w="2122" w:type="dxa"/>
          </w:tcPr>
          <w:p w14:paraId="788BB9C7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506" w:type="dxa"/>
          </w:tcPr>
          <w:p w14:paraId="23630F4A" w14:textId="4A53BAB2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-</w:t>
            </w: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Efectuarea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orelor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practice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funcţii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poziţia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X/</w:t>
            </w:r>
            <w:r w:rsidR="00CE5FD5" w:rsidRPr="009A278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14:paraId="2A4E576F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A7D1717" w14:textId="77777777" w:rsidR="00244CDD" w:rsidRPr="009A2782" w:rsidRDefault="00244CDD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Elaborare</w:t>
            </w:r>
            <w:proofErr w:type="spellEnd"/>
            <w:r w:rsidR="00C77844"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limbile</w:t>
            </w:r>
            <w:proofErr w:type="spellEnd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12D1D" w:rsidRPr="009A2782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proofErr w:type="spellEnd"/>
            <w:r w:rsidR="00412D1D" w:rsidRPr="009A2782">
              <w:rPr>
                <w:rFonts w:ascii="Times New Roman" w:hAnsi="Times New Roman"/>
                <w:sz w:val="24"/>
                <w:szCs w:val="24"/>
              </w:rPr>
              <w:t>mână și engleză</w:t>
            </w: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BEB980F" w14:textId="77777777" w:rsidR="003648D6" w:rsidRPr="009A2782" w:rsidRDefault="003648D6" w:rsidP="009A2782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Activități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clinice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: consulta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>ții, tratamente,</w:t>
            </w:r>
            <w:r w:rsidR="00C77844" w:rsidRPr="009A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>recoltare probe pentru examene de laborator, efectuare de e</w:t>
            </w:r>
            <w:r w:rsidR="00C77844" w:rsidRPr="009A2782">
              <w:rPr>
                <w:rFonts w:ascii="Times New Roman" w:hAnsi="Times New Roman"/>
                <w:sz w:val="24"/>
                <w:szCs w:val="24"/>
              </w:rPr>
              <w:t>xamene paraclinice, înregistrări de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 xml:space="preserve"> cazuri</w:t>
            </w:r>
            <w:r w:rsidR="00C77844"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83554F6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Verificări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control;</w:t>
            </w:r>
          </w:p>
          <w:p w14:paraId="21092F38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Consultaţii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studenţi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normă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865469D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ştiinţifică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052FBFB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științifice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A99AB44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legătura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mediul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economic;</w:t>
            </w:r>
          </w:p>
          <w:p w14:paraId="244C3CCD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civice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culturale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administrative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iniţiate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universitate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C549EF" w14:textId="77777777" w:rsidR="003648D6" w:rsidRPr="009A2782" w:rsidRDefault="003648D6" w:rsidP="009A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Alte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teoretică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studenţilor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48D6" w:rsidRPr="009A2782" w14:paraId="4C466E60" w14:textId="77777777" w:rsidTr="00CB53EC">
        <w:tc>
          <w:tcPr>
            <w:tcW w:w="2122" w:type="dxa"/>
          </w:tcPr>
          <w:p w14:paraId="1D4C276E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506" w:type="dxa"/>
          </w:tcPr>
          <w:p w14:paraId="0CDD4406" w14:textId="77777777" w:rsidR="00C556C0" w:rsidRPr="009A2782" w:rsidRDefault="00C556C0" w:rsidP="009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Tematică </w:t>
            </w:r>
          </w:p>
          <w:p w14:paraId="1F874078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Noțiuni de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neuroexaminare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neurolocalizare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Neuroexaminarea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neurolocalizarea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, algoritmi de diagnostic în neurologie. </w:t>
            </w:r>
          </w:p>
          <w:p w14:paraId="22C10E77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Tehnici de electrodiagnostic folosite în neurologie: electroencefalograma, testarea potențialelor auditive de trunchi cerebral. </w:t>
            </w:r>
          </w:p>
          <w:p w14:paraId="6354C106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Bolile encefalului -  Epilepsia. Urgențele epileptice: atacurile în cuiburi și statusul epileptic. Meningoencefalitele. Hidrocefalia. Sindromul de disfuncție cognitivă canină. </w:t>
            </w:r>
          </w:p>
          <w:p w14:paraId="457DDC32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Bolile cerebelului -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Cerebelopatii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inflamatorii. Abiotrofia cerebeloasă. Hipoplazia cerebeloasă. Sindromul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Chiari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. Sindromul vestibular. Paralizia facialului. Traumatismul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craniocerebral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8753BEA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Medulopatii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: Boala disc intervertebral.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Discospondilita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. Spondiloza deformantă. Embolia fibrocartilaginoasă. Subluxația și instabilitatea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atlantoaxială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. Traumatismul măduvei spinării. </w:t>
            </w:r>
          </w:p>
          <w:p w14:paraId="14883A01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Boli neuromusculare: Miastenia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gravis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Poliradiculoneurita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acuta idiopatică.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Avulsia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de plex brahial. </w:t>
            </w:r>
          </w:p>
          <w:p w14:paraId="49260278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Bolile aparatului digestiv Pancreatitele la animalele de companie. </w:t>
            </w:r>
          </w:p>
          <w:p w14:paraId="523981B8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Bolile rinichilor. Insuficiența renala acută și cronică. Retenția urinară. Incontinența urinară. Nefrita acută și cronică. </w:t>
            </w:r>
          </w:p>
          <w:p w14:paraId="03325EAB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Bolile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sistemului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cardiovascular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ale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sangelui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Cardiomiopatia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hipertrofică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și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trombembolia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aortică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pisici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Hipertensiunea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>arterială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 w:rsidRPr="009A2782">
              <w:rPr>
                <w:rFonts w:ascii="Times New Roman" w:hAnsi="Times New Roman"/>
                <w:sz w:val="24"/>
                <w:szCs w:val="24"/>
              </w:rPr>
              <w:t>Anemiile autoimune la câine și pisică</w:t>
            </w:r>
          </w:p>
          <w:p w14:paraId="3E666C09" w14:textId="77777777" w:rsidR="00C556C0" w:rsidRPr="009A2782" w:rsidRDefault="00C556C0" w:rsidP="009A27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Bolile sistemului endocrin Hipotiroidismul la câine. Hipertiroidismul la pisică.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Hiperadrenocorticismul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hipocorticismul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>. Diabetul zaharat.</w:t>
            </w:r>
          </w:p>
          <w:p w14:paraId="7A4B6BA9" w14:textId="77777777" w:rsidR="00C556C0" w:rsidRPr="009A2782" w:rsidRDefault="00C556C0" w:rsidP="009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E33CC" w14:textId="77777777" w:rsidR="00C556C0" w:rsidRPr="009A2782" w:rsidRDefault="00C556C0" w:rsidP="009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30C5E743" w14:textId="77777777" w:rsidR="00C556C0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Musteață M., Neurologie veterinară, 2023, Editura Ion Ionescu de la Brad Iași, ISBN 978-973-147-495-3</w:t>
            </w:r>
          </w:p>
          <w:p w14:paraId="3345BA20" w14:textId="77777777" w:rsidR="00C556C0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Musteață M, Electrodiagnosticul în medicina veterinară, 2021 Editura Ion Ionescu de la Brad Iași, ISBN 978-973-147-415-1</w:t>
            </w:r>
          </w:p>
          <w:p w14:paraId="15022DBA" w14:textId="77777777" w:rsidR="00C556C0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 xml:space="preserve">Falca C.,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Mircean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M, Mot T,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Braslasu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C M, Giurgiu G,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Vlagioiu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C, Pop C, Papuc I, Solcan G., Vulpe V, 2011,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>Medicina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>interna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>animalelor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vol. 1-2, Ed.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>Eurostampa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de-DE"/>
              </w:rPr>
              <w:t>Timișoara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A0F2B8" w14:textId="77777777" w:rsidR="00C556C0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782">
              <w:rPr>
                <w:rFonts w:ascii="Times New Roman" w:hAnsi="Times New Roman"/>
                <w:sz w:val="24"/>
                <w:szCs w:val="24"/>
              </w:rPr>
              <w:t>Baisan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</w:rPr>
              <w:t xml:space="preserve"> R.A., Cardiologie veterinară la câine și pisică., 2024, Ed. ”Ion Ionescu de la Brad” Iași, ISBN 978-973-147-546-2</w:t>
            </w:r>
          </w:p>
          <w:p w14:paraId="2C8C2E86" w14:textId="77777777" w:rsidR="00C556C0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Forman MA, Steiner JM, Armstrong PJ, Camus MS,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Gaschen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L, Hill SL, Mansfield CS,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Steiger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ACVIM consensus statement on pancreatitis in cats. J Vet Intern Med. 2021 Mar;35(2):703-723.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10.1111/jvim.16053.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 Feb 15. Garden OA, Kidd 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Mexas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Chang YM, Jeffery U, Blois SL,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Fogle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JE,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MacNeill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Lubas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Birkenheuer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Buoncompagni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Dandrieux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JRS, Di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Loria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Fellman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Glanemann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Goggs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R, Granick JL,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LeVine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DN, Sharp CR, Smith-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Carr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Swann JW,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Szladovits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 ACVIM consensus statement on the diagnosis of immune-mediated hemolytic anemia in dogs and cats. J Vet Intern Med. 2019 Mar;33(2):313-334. 10.1111/jvim.15441.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2019 Feb 26. </w:t>
            </w:r>
          </w:p>
          <w:p w14:paraId="4734B667" w14:textId="507C7AE4" w:rsidR="003648D6" w:rsidRPr="009A2782" w:rsidRDefault="00C556C0" w:rsidP="009A27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Swann JW, Garden OA,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Fellman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Glanemann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Goggs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LeVine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DN,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Mackin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AJ, Whitley NT. ACVIM consensus statement on the treatment of immune-mediated hemolytic anemia in dogs. J Vet Intern Med. 2019 May;33(3):1141-1172.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10.1111/jvim.15463. </w:t>
            </w:r>
            <w:proofErr w:type="spellStart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9A2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2019 Mar 7. </w:t>
            </w:r>
            <w:bookmarkStart w:id="0" w:name="_GoBack"/>
            <w:bookmarkEnd w:id="0"/>
          </w:p>
        </w:tc>
      </w:tr>
      <w:tr w:rsidR="003648D6" w:rsidRPr="009A2782" w14:paraId="40F09327" w14:textId="77777777" w:rsidTr="00CB53EC">
        <w:tc>
          <w:tcPr>
            <w:tcW w:w="2122" w:type="dxa"/>
          </w:tcPr>
          <w:p w14:paraId="4505345D" w14:textId="77777777" w:rsidR="003648D6" w:rsidRPr="009A2782" w:rsidRDefault="003648D6" w:rsidP="009A278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7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506" w:type="dxa"/>
          </w:tcPr>
          <w:p w14:paraId="73B6A54E" w14:textId="36D8EFA6" w:rsidR="003648D6" w:rsidRPr="009A2782" w:rsidRDefault="00CB53EC" w:rsidP="009A27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782">
              <w:rPr>
                <w:rFonts w:ascii="Times New Roman" w:hAnsi="Times New Roman"/>
                <w:sz w:val="24"/>
                <w:szCs w:val="24"/>
              </w:rPr>
              <w:t>Postul de Asistent universitar va fi salarizat cf. Legii 153/2017, cu suma de 7.063 lei.</w:t>
            </w:r>
          </w:p>
        </w:tc>
      </w:tr>
    </w:tbl>
    <w:p w14:paraId="684A15B5" w14:textId="77777777" w:rsidR="003648D6" w:rsidRPr="009A2782" w:rsidRDefault="003648D6" w:rsidP="009A278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sectPr w:rsidR="003648D6" w:rsidRPr="009A2782" w:rsidSect="00CB53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59D"/>
    <w:multiLevelType w:val="hybridMultilevel"/>
    <w:tmpl w:val="A4B8AFFE"/>
    <w:lvl w:ilvl="0" w:tplc="2708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E26"/>
    <w:multiLevelType w:val="hybridMultilevel"/>
    <w:tmpl w:val="2AC0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424C"/>
    <w:multiLevelType w:val="hybridMultilevel"/>
    <w:tmpl w:val="C3C02844"/>
    <w:lvl w:ilvl="0" w:tplc="FE26C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5D841AF"/>
    <w:multiLevelType w:val="hybridMultilevel"/>
    <w:tmpl w:val="76029FD6"/>
    <w:lvl w:ilvl="0" w:tplc="5D82E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465"/>
    <w:multiLevelType w:val="hybridMultilevel"/>
    <w:tmpl w:val="CA744282"/>
    <w:lvl w:ilvl="0" w:tplc="439AC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5DE6913"/>
    <w:multiLevelType w:val="hybridMultilevel"/>
    <w:tmpl w:val="334C3612"/>
    <w:lvl w:ilvl="0" w:tplc="6694D3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77EF0"/>
    <w:multiLevelType w:val="hybridMultilevel"/>
    <w:tmpl w:val="DAD6F31A"/>
    <w:lvl w:ilvl="0" w:tplc="C924F66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46C3FF0"/>
    <w:multiLevelType w:val="hybridMultilevel"/>
    <w:tmpl w:val="E892F13E"/>
    <w:lvl w:ilvl="0" w:tplc="C9DA50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7F95FB6"/>
    <w:multiLevelType w:val="hybridMultilevel"/>
    <w:tmpl w:val="13B21110"/>
    <w:lvl w:ilvl="0" w:tplc="17DE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4634"/>
    <w:rsid w:val="000250EE"/>
    <w:rsid w:val="00043B66"/>
    <w:rsid w:val="000561BC"/>
    <w:rsid w:val="0005698E"/>
    <w:rsid w:val="0006159F"/>
    <w:rsid w:val="000739EE"/>
    <w:rsid w:val="000927B4"/>
    <w:rsid w:val="000C1970"/>
    <w:rsid w:val="000F065D"/>
    <w:rsid w:val="001621DA"/>
    <w:rsid w:val="00172B96"/>
    <w:rsid w:val="001763A3"/>
    <w:rsid w:val="00194F46"/>
    <w:rsid w:val="001A25CE"/>
    <w:rsid w:val="001C0F6F"/>
    <w:rsid w:val="001C33DB"/>
    <w:rsid w:val="001E6013"/>
    <w:rsid w:val="001F7E1B"/>
    <w:rsid w:val="00217644"/>
    <w:rsid w:val="0022142F"/>
    <w:rsid w:val="002312E9"/>
    <w:rsid w:val="00244CDD"/>
    <w:rsid w:val="002510B9"/>
    <w:rsid w:val="00253C10"/>
    <w:rsid w:val="00270ABC"/>
    <w:rsid w:val="00285B63"/>
    <w:rsid w:val="002A2F7D"/>
    <w:rsid w:val="002D56C1"/>
    <w:rsid w:val="002E0F71"/>
    <w:rsid w:val="002F0897"/>
    <w:rsid w:val="00305179"/>
    <w:rsid w:val="0035569E"/>
    <w:rsid w:val="003648D6"/>
    <w:rsid w:val="003849BD"/>
    <w:rsid w:val="003B6F7A"/>
    <w:rsid w:val="003D0837"/>
    <w:rsid w:val="00400C2A"/>
    <w:rsid w:val="00412D1D"/>
    <w:rsid w:val="00461C35"/>
    <w:rsid w:val="00490A8F"/>
    <w:rsid w:val="004E39DD"/>
    <w:rsid w:val="004E4888"/>
    <w:rsid w:val="004F64CB"/>
    <w:rsid w:val="00532D6B"/>
    <w:rsid w:val="005337A1"/>
    <w:rsid w:val="005519B2"/>
    <w:rsid w:val="00556DF5"/>
    <w:rsid w:val="0056125D"/>
    <w:rsid w:val="00571AD6"/>
    <w:rsid w:val="005B4475"/>
    <w:rsid w:val="005C6ECA"/>
    <w:rsid w:val="005E7ED6"/>
    <w:rsid w:val="00640168"/>
    <w:rsid w:val="00652F8C"/>
    <w:rsid w:val="00671299"/>
    <w:rsid w:val="006905D0"/>
    <w:rsid w:val="00693FBD"/>
    <w:rsid w:val="006A09AF"/>
    <w:rsid w:val="006B162C"/>
    <w:rsid w:val="006D1F58"/>
    <w:rsid w:val="007050CA"/>
    <w:rsid w:val="00725767"/>
    <w:rsid w:val="007743A7"/>
    <w:rsid w:val="00791E17"/>
    <w:rsid w:val="007B0172"/>
    <w:rsid w:val="007B1444"/>
    <w:rsid w:val="007B1D8A"/>
    <w:rsid w:val="007C11EC"/>
    <w:rsid w:val="007C3266"/>
    <w:rsid w:val="007E559C"/>
    <w:rsid w:val="007F038E"/>
    <w:rsid w:val="008139D8"/>
    <w:rsid w:val="00846722"/>
    <w:rsid w:val="00866A94"/>
    <w:rsid w:val="008B2382"/>
    <w:rsid w:val="008D66B5"/>
    <w:rsid w:val="008E4036"/>
    <w:rsid w:val="00912274"/>
    <w:rsid w:val="00936304"/>
    <w:rsid w:val="009A2782"/>
    <w:rsid w:val="009D0BAD"/>
    <w:rsid w:val="009F0024"/>
    <w:rsid w:val="00A57C66"/>
    <w:rsid w:val="00A634B8"/>
    <w:rsid w:val="00AE48AF"/>
    <w:rsid w:val="00B044E1"/>
    <w:rsid w:val="00B06DB5"/>
    <w:rsid w:val="00B25B78"/>
    <w:rsid w:val="00B30C21"/>
    <w:rsid w:val="00B6266B"/>
    <w:rsid w:val="00B8022B"/>
    <w:rsid w:val="00B84438"/>
    <w:rsid w:val="00BA540B"/>
    <w:rsid w:val="00BD6D81"/>
    <w:rsid w:val="00BF2693"/>
    <w:rsid w:val="00BF29DC"/>
    <w:rsid w:val="00C363C8"/>
    <w:rsid w:val="00C556C0"/>
    <w:rsid w:val="00C63B6C"/>
    <w:rsid w:val="00C6687F"/>
    <w:rsid w:val="00C70A84"/>
    <w:rsid w:val="00C77844"/>
    <w:rsid w:val="00CB53EC"/>
    <w:rsid w:val="00CE5FD5"/>
    <w:rsid w:val="00CF5FDA"/>
    <w:rsid w:val="00D02176"/>
    <w:rsid w:val="00DB0C20"/>
    <w:rsid w:val="00DD660C"/>
    <w:rsid w:val="00DF3154"/>
    <w:rsid w:val="00DF71DB"/>
    <w:rsid w:val="00E1499F"/>
    <w:rsid w:val="00E40687"/>
    <w:rsid w:val="00E81078"/>
    <w:rsid w:val="00EA0316"/>
    <w:rsid w:val="00EE1010"/>
    <w:rsid w:val="00EF578A"/>
    <w:rsid w:val="00EF6ED7"/>
    <w:rsid w:val="00F35ACE"/>
    <w:rsid w:val="00F46007"/>
    <w:rsid w:val="00F46262"/>
    <w:rsid w:val="00F525E4"/>
    <w:rsid w:val="00F57D56"/>
    <w:rsid w:val="00F655E3"/>
    <w:rsid w:val="00F677CC"/>
    <w:rsid w:val="00F809D7"/>
    <w:rsid w:val="00F83B3D"/>
    <w:rsid w:val="00F96B83"/>
    <w:rsid w:val="00FE1A4B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C7642"/>
  <w15:docId w15:val="{5B530D7D-D4F5-46B6-98B5-ADD604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lang w:eastAsia="en-US"/>
    </w:rPr>
  </w:style>
  <w:style w:type="table" w:styleId="Tabelgril">
    <w:name w:val="Table Grid"/>
    <w:basedOn w:val="TabelNormal"/>
    <w:uiPriority w:val="99"/>
    <w:rsid w:val="00532D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99"/>
    <w:qFormat/>
    <w:rsid w:val="001621DA"/>
    <w:pPr>
      <w:ind w:left="720"/>
      <w:contextualSpacing/>
    </w:pPr>
  </w:style>
  <w:style w:type="character" w:styleId="Robust">
    <w:name w:val="Strong"/>
    <w:uiPriority w:val="22"/>
    <w:qFormat/>
    <w:locked/>
    <w:rsid w:val="006D1F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5</cp:revision>
  <cp:lastPrinted>2017-05-12T05:43:00Z</cp:lastPrinted>
  <dcterms:created xsi:type="dcterms:W3CDTF">2024-12-03T11:09:00Z</dcterms:created>
  <dcterms:modified xsi:type="dcterms:W3CDTF">2024-12-06T12:39:00Z</dcterms:modified>
</cp:coreProperties>
</file>